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140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</w:t>
      </w:r>
      <w:r>
        <w:rPr>
          <w:rFonts w:ascii="Times New Roman" w:eastAsia="Times New Roman" w:hAnsi="Times New Roman" w:cs="Times New Roman"/>
          <w:sz w:val="28"/>
          <w:szCs w:val="28"/>
        </w:rPr>
        <w:t>о значения Сургута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Зиянгирова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административном правонарушении, предусмотренном ст.20.21 Кодекса об административных правонарушениях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Зиянгирова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Шаукатовича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2"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Зиянгиров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районе д. 66 по пр. Ленина в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>грязная одежда,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речь невнятная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резкий 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чем оскорбил человеческое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достоинство и общественную нравственность.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Зиянгиров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 полностью,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Зиянгирова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правонарушении; рапортами сотрудников полиции, в которых изложены обстоятельства совершения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собранным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правонарушении, относительно достоверности изложенного в 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суда сомнений не имеется, какой-либо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исходе дела не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Зиянгирова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20.21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Зиянгирова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Препятствий для назначения административного наказания в виде административного ареста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Зиянгирова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Шаукатовича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т.е. с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ХМАО-Югры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16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140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8">
    <w:name w:val="cat-UserDefined grp-2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